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F150C8" w:rsidP="00C313B5">
            <w:pPr>
              <w:widowControl w:val="0"/>
              <w:spacing w:line="216" w:lineRule="auto"/>
              <w:ind w:left="5670"/>
              <w:rPr>
                <w:b/>
                <w:bCs/>
                <w:sz w:val="24"/>
                <w:szCs w:val="24"/>
              </w:rPr>
            </w:pPr>
            <w:r>
              <w:rPr>
                <w:b/>
                <w:bCs/>
                <w:sz w:val="24"/>
                <w:szCs w:val="24"/>
              </w:rPr>
              <w:t xml:space="preserve">__.________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___</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1D3199" w:rsidRDefault="001D3199" w:rsidP="001D3199">
      <w:pPr>
        <w:ind w:left="1287"/>
        <w:jc w:val="center"/>
        <w:rPr>
          <w:rFonts w:eastAsia="Times New Roman" w:cs="Times New Roman"/>
          <w:b/>
          <w:sz w:val="20"/>
          <w:szCs w:val="20"/>
          <w:u w:val="single"/>
          <w:lang w:eastAsia="ru-RU"/>
        </w:rPr>
      </w:pPr>
      <w:r w:rsidRPr="001D3199">
        <w:rPr>
          <w:rFonts w:eastAsia="Times New Roman" w:cs="Times New Roman"/>
          <w:b/>
          <w:sz w:val="20"/>
          <w:szCs w:val="20"/>
          <w:u w:val="single"/>
          <w:lang w:eastAsia="ru-RU"/>
        </w:rPr>
        <w:t>ЗОЛОЧІВСЬКИЙ ВІДДІЛ ЗМУ ДМС</w:t>
      </w:r>
    </w:p>
    <w:p w:rsidR="00C313B5" w:rsidRPr="001D3199" w:rsidRDefault="00C313B5" w:rsidP="00C313B5">
      <w:pPr>
        <w:ind w:left="1287"/>
        <w:jc w:val="center"/>
        <w:rPr>
          <w:rFonts w:eastAsia="Times New Roman" w:cs="Times New Roman"/>
          <w:sz w:val="16"/>
          <w:szCs w:val="16"/>
          <w:lang w:eastAsia="ru-RU"/>
        </w:rPr>
      </w:pPr>
      <w:r w:rsidRPr="001D3199">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1D3199" w:rsidRDefault="001D3199" w:rsidP="00CF6DEE">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A97F76" w:rsidRPr="00A92464" w:rsidRDefault="00A97F76" w:rsidP="001D3199">
      <w:pPr>
        <w:ind w:left="-567"/>
        <w:jc w:val="both"/>
        <w:rPr>
          <w:rFonts w:ascii="Verdana" w:eastAsia="Times New Roman" w:hAnsi="Verdana" w:cs="Times New Roman"/>
          <w:b/>
          <w:sz w:val="16"/>
          <w:szCs w:val="16"/>
          <w:lang w:eastAsia="ru-RU"/>
        </w:rPr>
      </w:pP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3A5" w:rsidRDefault="004343A5">
      <w:r>
        <w:separator/>
      </w:r>
    </w:p>
  </w:endnote>
  <w:endnote w:type="continuationSeparator" w:id="0">
    <w:p w:rsidR="004343A5" w:rsidRDefault="004343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3A5" w:rsidRDefault="004343A5">
      <w:r>
        <w:separator/>
      </w:r>
    </w:p>
  </w:footnote>
  <w:footnote w:type="continuationSeparator" w:id="0">
    <w:p w:rsidR="004343A5" w:rsidRDefault="004343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404052">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CF6DEE">
      <w:rPr>
        <w:noProof/>
        <w:sz w:val="24"/>
        <w:szCs w:val="24"/>
      </w:rPr>
      <w:t>6</w:t>
    </w:r>
    <w:r>
      <w:rPr>
        <w:sz w:val="24"/>
        <w:szCs w:val="24"/>
      </w:rPr>
      <w:fldChar w:fldCharType="end"/>
    </w:r>
  </w:p>
  <w:p w:rsidR="00CB7520" w:rsidRDefault="004343A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20BA"/>
    <w:rsid w:val="001D3199"/>
    <w:rsid w:val="00290C8E"/>
    <w:rsid w:val="003033F5"/>
    <w:rsid w:val="003920EE"/>
    <w:rsid w:val="003A7033"/>
    <w:rsid w:val="003C3A3C"/>
    <w:rsid w:val="00404052"/>
    <w:rsid w:val="00423971"/>
    <w:rsid w:val="004343A5"/>
    <w:rsid w:val="00512609"/>
    <w:rsid w:val="005A014A"/>
    <w:rsid w:val="005D5D93"/>
    <w:rsid w:val="005F4770"/>
    <w:rsid w:val="006159EF"/>
    <w:rsid w:val="00653B22"/>
    <w:rsid w:val="007252AA"/>
    <w:rsid w:val="007F13D2"/>
    <w:rsid w:val="00831413"/>
    <w:rsid w:val="008948E5"/>
    <w:rsid w:val="0095095A"/>
    <w:rsid w:val="009A1B67"/>
    <w:rsid w:val="009D6E2C"/>
    <w:rsid w:val="009D73C0"/>
    <w:rsid w:val="00A63A4C"/>
    <w:rsid w:val="00A92464"/>
    <w:rsid w:val="00A97F76"/>
    <w:rsid w:val="00AA743E"/>
    <w:rsid w:val="00AC6301"/>
    <w:rsid w:val="00B06F86"/>
    <w:rsid w:val="00B51672"/>
    <w:rsid w:val="00BF4B14"/>
    <w:rsid w:val="00C26A6F"/>
    <w:rsid w:val="00C313B5"/>
    <w:rsid w:val="00C76270"/>
    <w:rsid w:val="00CF6DEE"/>
    <w:rsid w:val="00D96941"/>
    <w:rsid w:val="00E71CBA"/>
    <w:rsid w:val="00EC2796"/>
    <w:rsid w:val="00F150C8"/>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37C993-EDFB-4BE0-9E98-631C2CD33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2292</Words>
  <Characters>13067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2025-10-02T05:59:00Z</cp:lastPrinted>
  <dcterms:created xsi:type="dcterms:W3CDTF">2025-11-06T15:15:00Z</dcterms:created>
  <dcterms:modified xsi:type="dcterms:W3CDTF">2025-11-06T15:21:00Z</dcterms:modified>
</cp:coreProperties>
</file>